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77" w:rsidRPr="00752BDA" w:rsidRDefault="00E64C60">
      <w:pPr>
        <w:rPr>
          <w:rFonts w:ascii="黑体" w:eastAsia="黑体" w:hAnsi="黑体"/>
          <w:sz w:val="32"/>
          <w:szCs w:val="32"/>
        </w:rPr>
      </w:pPr>
      <w:r w:rsidRPr="00752BDA">
        <w:rPr>
          <w:rFonts w:ascii="黑体" w:eastAsia="黑体" w:hAnsi="黑体" w:hint="eastAsia"/>
          <w:sz w:val="32"/>
          <w:szCs w:val="32"/>
        </w:rPr>
        <w:t>附件</w:t>
      </w:r>
      <w:r w:rsidR="005E460E">
        <w:rPr>
          <w:rFonts w:ascii="黑体" w:eastAsia="黑体" w:hAnsi="黑体" w:hint="eastAsia"/>
          <w:sz w:val="32"/>
          <w:szCs w:val="32"/>
        </w:rPr>
        <w:t>1</w:t>
      </w:r>
    </w:p>
    <w:p w:rsidR="005E460E" w:rsidRDefault="00E64C60" w:rsidP="00752BDA">
      <w:pPr>
        <w:jc w:val="center"/>
        <w:rPr>
          <w:rFonts w:ascii="宋体" w:eastAsia="宋体" w:hAnsi="宋体"/>
          <w:b/>
          <w:sz w:val="36"/>
          <w:szCs w:val="36"/>
        </w:rPr>
      </w:pPr>
      <w:r w:rsidRPr="00752BDA">
        <w:rPr>
          <w:rFonts w:ascii="宋体" w:eastAsia="宋体" w:hAnsi="宋体" w:hint="eastAsia"/>
          <w:b/>
          <w:sz w:val="36"/>
          <w:szCs w:val="36"/>
        </w:rPr>
        <w:t>苏州大学</w:t>
      </w:r>
      <w:r w:rsidRPr="00752BDA">
        <w:rPr>
          <w:rFonts w:ascii="宋体" w:eastAsia="宋体" w:hAnsi="宋体"/>
          <w:b/>
          <w:sz w:val="36"/>
          <w:szCs w:val="36"/>
        </w:rPr>
        <w:t>拟推荐</w:t>
      </w:r>
      <w:r w:rsidRPr="00752BDA">
        <w:rPr>
          <w:rFonts w:ascii="宋体" w:eastAsia="宋体" w:hAnsi="宋体" w:hint="eastAsia"/>
          <w:b/>
          <w:sz w:val="36"/>
          <w:szCs w:val="36"/>
        </w:rPr>
        <w:t>申报</w:t>
      </w:r>
      <w:r w:rsidRPr="00752BDA">
        <w:rPr>
          <w:rFonts w:ascii="宋体" w:eastAsia="宋体" w:hAnsi="宋体"/>
          <w:b/>
          <w:sz w:val="36"/>
          <w:szCs w:val="36"/>
        </w:rPr>
        <w:t>2017年江苏</w:t>
      </w:r>
      <w:r w:rsidRPr="00752BDA">
        <w:rPr>
          <w:rFonts w:ascii="宋体" w:eastAsia="宋体" w:hAnsi="宋体" w:hint="eastAsia"/>
          <w:b/>
          <w:sz w:val="36"/>
          <w:szCs w:val="36"/>
        </w:rPr>
        <w:t>省</w:t>
      </w:r>
      <w:r w:rsidRPr="00752BDA">
        <w:rPr>
          <w:rFonts w:ascii="宋体" w:eastAsia="宋体" w:hAnsi="宋体"/>
          <w:b/>
          <w:sz w:val="36"/>
          <w:szCs w:val="36"/>
        </w:rPr>
        <w:t>教学成果奖</w:t>
      </w:r>
    </w:p>
    <w:p w:rsidR="00E64C60" w:rsidRPr="00752BDA" w:rsidRDefault="005E460E" w:rsidP="00752BDA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（高等教育类）</w:t>
      </w:r>
      <w:r w:rsidR="00E64C60" w:rsidRPr="00752BDA">
        <w:rPr>
          <w:rFonts w:ascii="宋体" w:eastAsia="宋体" w:hAnsi="宋体"/>
          <w:b/>
          <w:sz w:val="36"/>
          <w:szCs w:val="36"/>
        </w:rPr>
        <w:t>项目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492"/>
        <w:gridCol w:w="2879"/>
        <w:gridCol w:w="2142"/>
      </w:tblGrid>
      <w:tr w:rsidR="0030625A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30625A" w:rsidRPr="0050069B" w:rsidRDefault="0030625A" w:rsidP="0030625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50069B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推荐成果名称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C240B4" w:rsidRDefault="0030625A" w:rsidP="008F718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成果主要</w:t>
            </w:r>
          </w:p>
          <w:p w:rsidR="0030625A" w:rsidRPr="00D16017" w:rsidRDefault="0030625A" w:rsidP="008F71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完成人姓名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C240B4" w:rsidRDefault="0030625A" w:rsidP="00D1601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成果主要</w:t>
            </w:r>
          </w:p>
          <w:p w:rsidR="0030625A" w:rsidRPr="0050069B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完成单位</w:t>
            </w:r>
          </w:p>
        </w:tc>
      </w:tr>
      <w:tr w:rsidR="0030625A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30625A" w:rsidRPr="008F7185" w:rsidRDefault="008F7185" w:rsidP="0030625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基于全面提升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体育学类专业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学生核心素养的课程改革与实践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7185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王家宏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陶玉流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陆阿明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F7185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平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徐建荣、王国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30625A" w:rsidRPr="00D16017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30625A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30625A" w:rsidRPr="008F7185" w:rsidRDefault="008F7185" w:rsidP="0030625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“3+1”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应用能力培养体系的研究与实践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7185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孙倚娜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顾卫星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高永晨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F7185" w:rsidRDefault="0030625A" w:rsidP="001E5E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岭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朱全明、叶建敏、</w:t>
            </w:r>
          </w:p>
          <w:p w:rsidR="008F7185" w:rsidRDefault="0030625A" w:rsidP="001E5E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莉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卓、黄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婷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F7185" w:rsidRDefault="0030625A" w:rsidP="001E5E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赵新刚、王依超、王瑞东、</w:t>
            </w:r>
          </w:p>
          <w:p w:rsidR="0030625A" w:rsidRPr="00D16017" w:rsidRDefault="0030625A" w:rsidP="001E5E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京、张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玲、高燕红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30625A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30625A" w:rsidRPr="008F7185" w:rsidRDefault="008F7185" w:rsidP="0030625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92" w:type="dxa"/>
            <w:shd w:val="clear" w:color="auto" w:fill="auto"/>
            <w:noWrap/>
            <w:vAlign w:val="center"/>
            <w:hideMark/>
          </w:tcPr>
          <w:p w:rsidR="0030625A" w:rsidRPr="00D16017" w:rsidRDefault="0030625A" w:rsidP="00D16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打通文史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基础，培养人文学科复合型人才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7185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尧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车玉玲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30625A" w:rsidRPr="00D16017" w:rsidRDefault="0030625A" w:rsidP="008F718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胡月华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30625A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30625A" w:rsidRPr="008F7185" w:rsidRDefault="008F7185" w:rsidP="003062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:rsidR="0030625A" w:rsidRPr="00B97292" w:rsidRDefault="0030625A" w:rsidP="003062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多通道、精细化：地方高校培养数学基础研究人才的探索与实践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8F7185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黄毅生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曹永罗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史恩慧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30625A" w:rsidRPr="00D16017" w:rsidRDefault="0030625A" w:rsidP="008F71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顾振华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="008F71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30625A" w:rsidRPr="00D16017" w:rsidRDefault="0030625A" w:rsidP="00D16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763E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B97292" w:rsidRDefault="00812355" w:rsidP="00D50B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基于校企合作平台的建筑类专业设计人才协同培养模式探索与实践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12355" w:rsidRDefault="00812355" w:rsidP="00D50B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吴永发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诚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琼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D50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琦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肖湘东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D50B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苏州金螳螂建筑装饰股份有限公司</w:t>
            </w:r>
          </w:p>
        </w:tc>
      </w:tr>
      <w:tr w:rsidR="00812355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763E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B97292" w:rsidRDefault="00812355" w:rsidP="000F5A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面向国家战略性新兴产业的纳米专业创新人才</w:t>
            </w:r>
            <w:r w:rsidRPr="00B972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三融合</w:t>
            </w:r>
            <w:r w:rsidRPr="00B972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培养模式探索与实践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12355" w:rsidRDefault="00812355" w:rsidP="000F5A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李述汤</w:t>
            </w:r>
            <w:proofErr w:type="gramEnd"/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王穗东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晶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Default="00812355" w:rsidP="000F5A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庄、廖良生、</w:t>
            </w:r>
          </w:p>
          <w:p w:rsidR="00812355" w:rsidRDefault="00812355" w:rsidP="000F5A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孙旭辉、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John </w:t>
            </w:r>
            <w:proofErr w:type="spellStart"/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Mcleod</w:t>
            </w:r>
            <w:proofErr w:type="spell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0F5A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Igor Bello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David </w:t>
            </w:r>
            <w:proofErr w:type="spellStart"/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Seath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0F5A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3869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67218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:rsidR="00812355" w:rsidRPr="00B97292" w:rsidRDefault="00812355" w:rsidP="003062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计算机类专业本科创新人才</w:t>
            </w:r>
            <w:r w:rsidRPr="00B972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多维度协同</w:t>
            </w:r>
            <w:r w:rsidRPr="00B972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培养体系构建与实践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967CD9" w:rsidRDefault="00812355" w:rsidP="00967CD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李凡长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秦炜炜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967CD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王宜怀</w:t>
            </w:r>
            <w:r w:rsidR="00967C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芳、刘纯平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812355" w:rsidRPr="00D16017" w:rsidRDefault="00812355" w:rsidP="00D16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67218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B97292" w:rsidRDefault="000C7836" w:rsidP="000C783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基于目标驱动的</w:t>
            </w:r>
            <w:r w:rsidR="00812355"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电子信息类人才培养模式的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探索</w:t>
            </w:r>
            <w:r w:rsidR="00812355"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7C23E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赵鹤鸣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胡剑凌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刘学观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7C23E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陈小平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黄远丰</w:t>
            </w:r>
            <w:r w:rsidR="000C783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、徐大诚、俞一彪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7C23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67218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D16017" w:rsidRDefault="00812355" w:rsidP="00CC42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基于提高学生解决复杂工程问题能力的机械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类创新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人才培养模式的探索与实践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12355" w:rsidRDefault="00812355" w:rsidP="00CC42E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陈再良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盛小明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孙承峰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CC42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王金娥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王明娣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CC42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6721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B97292" w:rsidRDefault="00812355" w:rsidP="00EB1E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纺织类工科学生实践创新能力</w:t>
            </w:r>
            <w:r w:rsidRPr="00B972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“4+4”</w:t>
            </w:r>
            <w:r w:rsidRPr="00B9729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培养体系的研究与实践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EB1E9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潘志娟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眭</w:t>
            </w:r>
            <w:proofErr w:type="gramEnd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岑</w:t>
            </w:r>
            <w:proofErr w:type="gramEnd"/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EB1E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龙家杰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王国和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EB1E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F952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0C7836" w:rsidRDefault="00812355" w:rsidP="000C783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能力导向</w:t>
            </w:r>
            <w:r w:rsidR="00334B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融通整合</w:t>
            </w:r>
            <w:r w:rsidR="00334B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立足转化</w:t>
            </w:r>
          </w:p>
          <w:p w:rsidR="00812355" w:rsidRPr="00AF4FCD" w:rsidRDefault="00164624" w:rsidP="009472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="00812355"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</w:t>
            </w:r>
            <w:r w:rsidR="0094727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性</w:t>
            </w:r>
            <w:r w:rsidR="00812355"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大学医学</w:t>
            </w:r>
            <w:r w:rsidR="0094727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转化式学习体系</w:t>
            </w:r>
            <w:r w:rsidR="000C783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研究</w:t>
            </w:r>
            <w:r w:rsidR="00812355"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F952E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蒋星红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陈卫昌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F952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瑞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胡春洪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F952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F952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D16017" w:rsidRDefault="00812355" w:rsidP="00F952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以学生自主选择为导向的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一体四翼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药学人才培养体系的构建与实践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12355" w:rsidRDefault="00812355" w:rsidP="00F952E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镇学初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汪维鹏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张慧灵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F952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乔春华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崔京浩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F952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D345D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AF4FCD" w:rsidRDefault="00812355" w:rsidP="00F560D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多方联动、多维构建、多元共享</w:t>
            </w:r>
            <w:r w:rsidRPr="00AF4FC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服装设计专业</w:t>
            </w:r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卓越人才</w:t>
            </w:r>
            <w:r w:rsidRPr="00AF4F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培养路径探索实践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12355" w:rsidRDefault="00812355" w:rsidP="00D345D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黄燕敏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张蓓蓓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Default="00812355" w:rsidP="00D345D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钱孟尧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正、张晓霞、</w:t>
            </w:r>
          </w:p>
          <w:p w:rsidR="00202526" w:rsidRDefault="00812355" w:rsidP="0020252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茵、戴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岗、李琼舟、</w:t>
            </w:r>
          </w:p>
          <w:p w:rsidR="00812355" w:rsidRPr="00D16017" w:rsidRDefault="00812355" w:rsidP="00F560D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李飞跃</w:t>
            </w:r>
            <w:r w:rsidR="00202526"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</w:t>
            </w:r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琳</w:t>
            </w:r>
            <w:bookmarkStart w:id="0" w:name="_GoBack"/>
            <w:bookmarkEnd w:id="0"/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F560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波司登</w:t>
            </w:r>
            <w:proofErr w:type="gramEnd"/>
            <w:r w:rsidR="00F560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国际控股有限公司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1D550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Pr="00D16017" w:rsidRDefault="00812355" w:rsidP="001D550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导师学院为载体，一流导师队伍为支撑，培养高层次拔尖创新人才的探索与实践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1D550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熊思东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蒋星红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郎建平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Default="00812355" w:rsidP="001D550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钱振明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金薇吟、刘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洋、</w:t>
            </w:r>
          </w:p>
          <w:p w:rsidR="00812355" w:rsidRPr="00D16017" w:rsidRDefault="00812355" w:rsidP="001D550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徐晓明、和天旭、王杰祥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1D55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5B36E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Default="00812355" w:rsidP="005B36E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高校思想政治理论课职能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效能</w:t>
            </w:r>
          </w:p>
          <w:p w:rsidR="00812355" w:rsidRPr="00D16017" w:rsidRDefault="00812355" w:rsidP="005B36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三能一体</w:t>
            </w:r>
            <w:r w:rsidRPr="00D16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创新与实践研究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5B36E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田芝健</w:t>
            </w:r>
            <w:proofErr w:type="gramEnd"/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朱蓉蓉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许冠亭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5B36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姜建成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方世南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5B3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812355" w:rsidRPr="008F7185" w:rsidTr="00812355">
        <w:trPr>
          <w:trHeight w:val="794"/>
          <w:jc w:val="center"/>
        </w:trPr>
        <w:tc>
          <w:tcPr>
            <w:tcW w:w="732" w:type="dxa"/>
            <w:vAlign w:val="center"/>
          </w:tcPr>
          <w:p w:rsidR="00812355" w:rsidRPr="008F7185" w:rsidRDefault="00812355" w:rsidP="0030625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812355" w:rsidRDefault="00812355" w:rsidP="008908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以提升内生动力为导向的书院制</w:t>
            </w:r>
          </w:p>
          <w:p w:rsidR="00812355" w:rsidRPr="00D16017" w:rsidRDefault="00812355" w:rsidP="0089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人才培养模式改革与实践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 w:rsidR="00812355" w:rsidRDefault="00812355" w:rsidP="008908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罗时进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王剑敏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俊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  <w:p w:rsidR="00812355" w:rsidRPr="00D16017" w:rsidRDefault="00812355" w:rsidP="0089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钟宝江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孟玲玲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2355" w:rsidRPr="00D16017" w:rsidRDefault="00812355" w:rsidP="008908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</w:tbl>
    <w:p w:rsidR="00E64C60" w:rsidRDefault="00E64C60"/>
    <w:p w:rsidR="00BF73E0" w:rsidRPr="00D00250" w:rsidRDefault="00BF73E0">
      <w:pPr>
        <w:rPr>
          <w:rFonts w:ascii="黑体" w:eastAsia="黑体" w:hAnsi="黑体"/>
          <w:b/>
          <w:sz w:val="24"/>
          <w:szCs w:val="24"/>
        </w:rPr>
      </w:pPr>
      <w:r w:rsidRPr="00D00250">
        <w:rPr>
          <w:rFonts w:ascii="黑体" w:eastAsia="黑体" w:hAnsi="黑体" w:hint="eastAsia"/>
          <w:b/>
          <w:sz w:val="24"/>
          <w:szCs w:val="24"/>
        </w:rPr>
        <w:t>备注：项目排名不分先后。</w:t>
      </w:r>
    </w:p>
    <w:sectPr w:rsidR="00BF73E0" w:rsidRPr="00D00250" w:rsidSect="0030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20" w:rsidRDefault="00EB4C20" w:rsidP="00B97292">
      <w:r>
        <w:separator/>
      </w:r>
    </w:p>
  </w:endnote>
  <w:endnote w:type="continuationSeparator" w:id="0">
    <w:p w:rsidR="00EB4C20" w:rsidRDefault="00EB4C20" w:rsidP="00B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20" w:rsidRDefault="00EB4C20" w:rsidP="00B97292">
      <w:r>
        <w:separator/>
      </w:r>
    </w:p>
  </w:footnote>
  <w:footnote w:type="continuationSeparator" w:id="0">
    <w:p w:rsidR="00EB4C20" w:rsidRDefault="00EB4C20" w:rsidP="00B9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60"/>
    <w:rsid w:val="00096CE4"/>
    <w:rsid w:val="000B3C15"/>
    <w:rsid w:val="000C7836"/>
    <w:rsid w:val="00100EE7"/>
    <w:rsid w:val="00125B46"/>
    <w:rsid w:val="00126C33"/>
    <w:rsid w:val="00127CDE"/>
    <w:rsid w:val="00164624"/>
    <w:rsid w:val="001868E4"/>
    <w:rsid w:val="001E5E91"/>
    <w:rsid w:val="00202526"/>
    <w:rsid w:val="00273D74"/>
    <w:rsid w:val="00277DC3"/>
    <w:rsid w:val="002C2039"/>
    <w:rsid w:val="0030625A"/>
    <w:rsid w:val="00334BB8"/>
    <w:rsid w:val="00390058"/>
    <w:rsid w:val="00460C9E"/>
    <w:rsid w:val="00494D41"/>
    <w:rsid w:val="0050069B"/>
    <w:rsid w:val="005143CF"/>
    <w:rsid w:val="00563235"/>
    <w:rsid w:val="005E460E"/>
    <w:rsid w:val="00752BDA"/>
    <w:rsid w:val="00812355"/>
    <w:rsid w:val="00813869"/>
    <w:rsid w:val="008F7185"/>
    <w:rsid w:val="00935857"/>
    <w:rsid w:val="00947273"/>
    <w:rsid w:val="00967CD9"/>
    <w:rsid w:val="00A823E0"/>
    <w:rsid w:val="00AF4FCD"/>
    <w:rsid w:val="00B274CD"/>
    <w:rsid w:val="00B90825"/>
    <w:rsid w:val="00B97292"/>
    <w:rsid w:val="00BD4712"/>
    <w:rsid w:val="00BF73E0"/>
    <w:rsid w:val="00C240B4"/>
    <w:rsid w:val="00D00250"/>
    <w:rsid w:val="00D147AC"/>
    <w:rsid w:val="00D16017"/>
    <w:rsid w:val="00D334DD"/>
    <w:rsid w:val="00DE7B34"/>
    <w:rsid w:val="00E17277"/>
    <w:rsid w:val="00E64C60"/>
    <w:rsid w:val="00EB4C20"/>
    <w:rsid w:val="00EE59E5"/>
    <w:rsid w:val="00F52D1A"/>
    <w:rsid w:val="00F560D1"/>
    <w:rsid w:val="00F777CE"/>
    <w:rsid w:val="00F86A68"/>
    <w:rsid w:val="00F935FC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51</cp:revision>
  <cp:lastPrinted>2017-04-01T07:17:00Z</cp:lastPrinted>
  <dcterms:created xsi:type="dcterms:W3CDTF">2017-03-30T00:10:00Z</dcterms:created>
  <dcterms:modified xsi:type="dcterms:W3CDTF">2017-04-01T09:00:00Z</dcterms:modified>
</cp:coreProperties>
</file>